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FB" w:rsidRDefault="005C1BFB" w:rsidP="005C1BFB">
      <w:pPr>
        <w:spacing w:after="0" w:line="240" w:lineRule="auto"/>
        <w:jc w:val="center"/>
        <w:rPr>
          <w:rFonts w:ascii="Cambria" w:eastAsia="Times New Roman" w:hAnsi="Cambria"/>
          <w:sz w:val="24"/>
          <w:szCs w:val="24"/>
          <w:lang w:eastAsia="pl-PL"/>
        </w:rPr>
      </w:pPr>
      <w:r w:rsidRPr="005C1BFB">
        <w:rPr>
          <w:rFonts w:ascii="Cambria" w:eastAsia="QuasiTimes-Regular" w:hAnsi="Cambria"/>
          <w:b/>
          <w:noProof/>
          <w:sz w:val="24"/>
          <w:szCs w:val="24"/>
          <w:lang w:eastAsia="pl-PL"/>
        </w:rPr>
        <w:drawing>
          <wp:inline distT="0" distB="0" distL="0" distR="0">
            <wp:extent cx="740410" cy="311150"/>
            <wp:effectExtent l="0" t="0" r="2540" b="0"/>
            <wp:docPr id="2" name="Obraz 2" descr="N:\Redakcje\Tomaszewska\OD Kamy\00 slowa slowa\JIG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dakcje\Tomaszewska\OD Kamy\00 slowa slowa\JIGSA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410" cy="311150"/>
                    </a:xfrm>
                    <a:prstGeom prst="rect">
                      <a:avLst/>
                    </a:prstGeom>
                    <a:noFill/>
                    <a:ln>
                      <a:noFill/>
                    </a:ln>
                  </pic:spPr>
                </pic:pic>
              </a:graphicData>
            </a:graphic>
          </wp:inline>
        </w:drawing>
      </w:r>
    </w:p>
    <w:p w:rsidR="005C1BFB" w:rsidRDefault="005C1BFB" w:rsidP="00027B4A">
      <w:pPr>
        <w:spacing w:after="0" w:line="240" w:lineRule="auto"/>
        <w:jc w:val="both"/>
        <w:rPr>
          <w:rFonts w:ascii="Cambria" w:eastAsia="Times New Roman" w:hAnsi="Cambria"/>
          <w:sz w:val="24"/>
          <w:szCs w:val="24"/>
          <w:lang w:eastAsia="pl-PL"/>
        </w:rPr>
      </w:pPr>
    </w:p>
    <w:p w:rsidR="005C1BFB" w:rsidRDefault="005C1BFB" w:rsidP="00027B4A">
      <w:pPr>
        <w:spacing w:after="0" w:line="240" w:lineRule="auto"/>
        <w:jc w:val="both"/>
        <w:rPr>
          <w:rFonts w:ascii="Cambria" w:eastAsia="Times New Roman" w:hAnsi="Cambria"/>
          <w:sz w:val="24"/>
          <w:szCs w:val="24"/>
          <w:lang w:eastAsia="pl-PL"/>
        </w:rPr>
      </w:pPr>
    </w:p>
    <w:p w:rsidR="00027B4A" w:rsidRDefault="005C1BFB" w:rsidP="00027B4A">
      <w:pPr>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M</w:t>
      </w:r>
      <w:r w:rsidR="00027B4A" w:rsidRPr="00B63C25">
        <w:rPr>
          <w:rFonts w:ascii="Cambria" w:eastAsia="Times New Roman" w:hAnsi="Cambria"/>
          <w:sz w:val="24"/>
          <w:szCs w:val="24"/>
          <w:lang w:eastAsia="pl-PL"/>
        </w:rPr>
        <w:t>etoda</w:t>
      </w:r>
      <w:r w:rsidR="00027B4A" w:rsidRPr="00B63C25">
        <w:rPr>
          <w:rFonts w:ascii="Cambria" w:eastAsia="Times New Roman" w:hAnsi="Cambria"/>
          <w:bCs/>
          <w:sz w:val="24"/>
          <w:szCs w:val="24"/>
          <w:lang w:eastAsia="pl-PL"/>
        </w:rPr>
        <w:t xml:space="preserve"> JIGSAW</w:t>
      </w:r>
      <w:r w:rsidR="00027B4A" w:rsidRPr="00B63C25">
        <w:rPr>
          <w:rFonts w:ascii="Cambria" w:eastAsia="Times New Roman" w:hAnsi="Cambria"/>
          <w:sz w:val="24"/>
          <w:szCs w:val="24"/>
          <w:lang w:eastAsia="pl-PL"/>
        </w:rPr>
        <w:t xml:space="preserve"> jest przykładem uczenia się we współpracy. Może zostać wykorzystana, gdy uczniowie mają przyswoić partię materiału, którą da się podzielić na kilka spójnych fragmentów. Zadaniem każdego ucznia jest opanowanie pojedynczego fragmentu wiedzy i przekazanie go innym osobom. Pozwoli to na połączenie cząstkowej wiedzy w całość, podobnie jak w wypadku puzzli tworzących po ułożeniu cały obrazek.</w:t>
      </w:r>
    </w:p>
    <w:p w:rsidR="00162360" w:rsidRDefault="00162360" w:rsidP="00027B4A">
      <w:pPr>
        <w:spacing w:after="0" w:line="240" w:lineRule="auto"/>
        <w:jc w:val="both"/>
        <w:rPr>
          <w:rFonts w:ascii="Cambria" w:eastAsia="Times New Roman" w:hAnsi="Cambria"/>
          <w:sz w:val="24"/>
          <w:szCs w:val="24"/>
          <w:lang w:eastAsia="pl-PL"/>
        </w:rPr>
      </w:pPr>
    </w:p>
    <w:p w:rsidR="006D50BC" w:rsidRDefault="006D50BC" w:rsidP="00027B4A">
      <w:pPr>
        <w:spacing w:after="0" w:line="240" w:lineRule="auto"/>
        <w:jc w:val="both"/>
        <w:rPr>
          <w:rFonts w:ascii="Cambria" w:eastAsia="Times New Roman" w:hAnsi="Cambria"/>
          <w:sz w:val="24"/>
          <w:szCs w:val="24"/>
          <w:lang w:eastAsia="pl-PL"/>
        </w:rPr>
      </w:pPr>
    </w:p>
    <w:p w:rsidR="006D50BC" w:rsidRDefault="00162360" w:rsidP="00830AA9">
      <w:pPr>
        <w:spacing w:after="0" w:line="240" w:lineRule="auto"/>
        <w:jc w:val="center"/>
        <w:rPr>
          <w:rFonts w:ascii="Cambria" w:eastAsia="Times New Roman" w:hAnsi="Cambria"/>
          <w:sz w:val="24"/>
          <w:szCs w:val="24"/>
          <w:lang w:eastAsia="pl-PL"/>
        </w:rPr>
      </w:pPr>
      <w:r w:rsidRPr="00162360">
        <w:rPr>
          <w:rFonts w:ascii="Cambria" w:eastAsia="Times New Roman" w:hAnsi="Cambria"/>
          <w:noProof/>
          <w:sz w:val="24"/>
          <w:szCs w:val="24"/>
          <w:lang w:eastAsia="pl-PL"/>
        </w:rPr>
        <w:drawing>
          <wp:inline distT="0" distB="0" distL="0" distR="0">
            <wp:extent cx="2377440" cy="2481735"/>
            <wp:effectExtent l="0" t="0" r="3810" b="0"/>
            <wp:docPr id="3" name="Obraz 3" descr="N:\Redakcje\Tomaszewska\rysunki Sławka\jig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dakcje\Tomaszewska\rysunki Sławka\jigsa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160" cy="2485618"/>
                    </a:xfrm>
                    <a:prstGeom prst="rect">
                      <a:avLst/>
                    </a:prstGeom>
                    <a:noFill/>
                    <a:ln>
                      <a:noFill/>
                    </a:ln>
                  </pic:spPr>
                </pic:pic>
              </a:graphicData>
            </a:graphic>
          </wp:inline>
        </w:drawing>
      </w:r>
    </w:p>
    <w:p w:rsidR="005C73AF" w:rsidRDefault="005C73AF" w:rsidP="00830AA9">
      <w:pPr>
        <w:spacing w:after="0" w:line="240" w:lineRule="auto"/>
        <w:jc w:val="center"/>
        <w:rPr>
          <w:rFonts w:ascii="Cambria" w:eastAsia="Times New Roman" w:hAnsi="Cambria"/>
          <w:sz w:val="24"/>
          <w:szCs w:val="24"/>
          <w:lang w:eastAsia="pl-PL"/>
        </w:rPr>
      </w:pPr>
    </w:p>
    <w:p w:rsidR="00162360" w:rsidRPr="00654F68" w:rsidRDefault="00AF598C" w:rsidP="00162360">
      <w:pPr>
        <w:shd w:val="clear" w:color="auto" w:fill="FFFFFF"/>
        <w:spacing w:after="0" w:line="240" w:lineRule="auto"/>
        <w:ind w:left="2832" w:firstLine="708"/>
        <w:rPr>
          <w:rFonts w:ascii="Cambria" w:eastAsia="Times New Roman" w:hAnsi="Cambria" w:cs="Times New Roman"/>
          <w:color w:val="808080" w:themeColor="background1" w:themeShade="80"/>
          <w:sz w:val="16"/>
          <w:szCs w:val="24"/>
          <w:lang w:eastAsia="pl-PL"/>
        </w:rPr>
      </w:pPr>
      <w:r>
        <w:rPr>
          <w:rFonts w:ascii="Cambria" w:eastAsia="Times New Roman" w:hAnsi="Cambria" w:cs="Times New Roman"/>
          <w:color w:val="808080" w:themeColor="background1" w:themeShade="80"/>
          <w:sz w:val="16"/>
          <w:szCs w:val="24"/>
          <w:lang w:eastAsia="pl-PL"/>
        </w:rPr>
        <w:t xml:space="preserve">          </w:t>
      </w:r>
      <w:r w:rsidR="008D3684">
        <w:rPr>
          <w:rFonts w:ascii="Cambria" w:eastAsia="Times New Roman" w:hAnsi="Cambria" w:cs="Times New Roman"/>
          <w:color w:val="808080" w:themeColor="background1" w:themeShade="80"/>
          <w:sz w:val="16"/>
          <w:szCs w:val="24"/>
          <w:lang w:eastAsia="pl-PL"/>
        </w:rPr>
        <w:t xml:space="preserve">    </w:t>
      </w:r>
      <w:r w:rsidR="00162360" w:rsidRPr="00654F68">
        <w:rPr>
          <w:rFonts w:ascii="Cambria" w:eastAsia="Times New Roman" w:hAnsi="Cambria" w:cs="Times New Roman"/>
          <w:color w:val="808080" w:themeColor="background1" w:themeShade="80"/>
          <w:sz w:val="16"/>
          <w:szCs w:val="24"/>
          <w:lang w:eastAsia="pl-PL"/>
        </w:rPr>
        <w:t>Źródło ilustracji: Archiwum GWO</w:t>
      </w:r>
    </w:p>
    <w:p w:rsidR="00162360" w:rsidRDefault="00162360" w:rsidP="00027B4A">
      <w:pPr>
        <w:spacing w:after="0" w:line="240" w:lineRule="auto"/>
        <w:jc w:val="both"/>
        <w:rPr>
          <w:rFonts w:ascii="Cambria" w:eastAsia="Times New Roman" w:hAnsi="Cambria"/>
          <w:sz w:val="24"/>
          <w:szCs w:val="24"/>
          <w:lang w:eastAsia="pl-PL"/>
        </w:rPr>
      </w:pPr>
    </w:p>
    <w:p w:rsidR="00162360" w:rsidRDefault="00162360" w:rsidP="00027B4A">
      <w:pPr>
        <w:spacing w:after="0" w:line="240" w:lineRule="auto"/>
        <w:jc w:val="both"/>
        <w:rPr>
          <w:rFonts w:ascii="Cambria" w:eastAsia="Times New Roman" w:hAnsi="Cambria"/>
          <w:sz w:val="24"/>
          <w:szCs w:val="24"/>
          <w:lang w:eastAsia="pl-PL"/>
        </w:rPr>
      </w:pPr>
    </w:p>
    <w:p w:rsidR="00027B4A" w:rsidRPr="00B63C25" w:rsidRDefault="00027B4A" w:rsidP="00027B4A">
      <w:pPr>
        <w:spacing w:after="0" w:line="240" w:lineRule="auto"/>
        <w:jc w:val="both"/>
        <w:rPr>
          <w:rFonts w:ascii="Cambria" w:eastAsia="Times New Roman" w:hAnsi="Cambria"/>
          <w:sz w:val="24"/>
          <w:szCs w:val="24"/>
          <w:lang w:eastAsia="pl-PL"/>
        </w:rPr>
      </w:pPr>
      <w:r w:rsidRPr="00B63C25">
        <w:rPr>
          <w:rFonts w:ascii="Cambria" w:eastAsia="Times New Roman" w:hAnsi="Cambria"/>
          <w:sz w:val="24"/>
          <w:szCs w:val="24"/>
          <w:lang w:eastAsia="pl-PL"/>
        </w:rPr>
        <w:t>Metoda ta pozwala kształcić poczucie odpowiedzialności</w:t>
      </w:r>
      <w:r w:rsidR="00830AA9">
        <w:rPr>
          <w:rFonts w:ascii="Cambria" w:eastAsia="Times New Roman" w:hAnsi="Cambria"/>
          <w:sz w:val="24"/>
          <w:szCs w:val="24"/>
          <w:lang w:eastAsia="pl-PL"/>
        </w:rPr>
        <w:t xml:space="preserve"> za wiedzę swoją i innych, co z </w:t>
      </w:r>
      <w:r w:rsidRPr="00B63C25">
        <w:rPr>
          <w:rFonts w:ascii="Cambria" w:eastAsia="Times New Roman" w:hAnsi="Cambria"/>
          <w:sz w:val="24"/>
          <w:szCs w:val="24"/>
          <w:lang w:eastAsia="pl-PL"/>
        </w:rPr>
        <w:t>kolei motywuje do bardziej wnikliwego przyswajania wiadomości. Umożliwia też doskonalenie umiejętności planowania i organizowania własnego uczenia się.</w:t>
      </w:r>
    </w:p>
    <w:p w:rsidR="00027B4A" w:rsidRDefault="00027B4A" w:rsidP="00027B4A">
      <w:pPr>
        <w:spacing w:after="0" w:line="240" w:lineRule="auto"/>
        <w:jc w:val="both"/>
        <w:rPr>
          <w:rFonts w:ascii="Cambria" w:eastAsia="Times New Roman" w:hAnsi="Cambria"/>
          <w:sz w:val="24"/>
          <w:szCs w:val="24"/>
          <w:lang w:eastAsia="pl-PL"/>
        </w:rPr>
      </w:pPr>
    </w:p>
    <w:p w:rsidR="00830AA9" w:rsidRPr="00B63C25" w:rsidRDefault="00830AA9" w:rsidP="00027B4A">
      <w:pPr>
        <w:spacing w:after="0" w:line="240" w:lineRule="auto"/>
        <w:jc w:val="both"/>
        <w:rPr>
          <w:rFonts w:ascii="Cambria" w:eastAsia="Times New Roman" w:hAnsi="Cambria"/>
          <w:sz w:val="24"/>
          <w:szCs w:val="24"/>
          <w:lang w:eastAsia="pl-PL"/>
        </w:rPr>
      </w:pPr>
    </w:p>
    <w:p w:rsidR="00027B4A" w:rsidRDefault="000B7661" w:rsidP="00027B4A">
      <w:pPr>
        <w:autoSpaceDE w:val="0"/>
        <w:autoSpaceDN w:val="0"/>
        <w:adjustRightInd w:val="0"/>
        <w:spacing w:after="0" w:line="240" w:lineRule="auto"/>
        <w:jc w:val="both"/>
        <w:rPr>
          <w:rFonts w:ascii="Cambria" w:hAnsi="Cambria"/>
          <w:sz w:val="24"/>
          <w:szCs w:val="24"/>
        </w:rPr>
      </w:pPr>
      <w:r>
        <w:rPr>
          <w:rFonts w:ascii="Cambria" w:hAnsi="Cambria" w:cs="Times New Roman"/>
          <w:sz w:val="24"/>
          <w:szCs w:val="24"/>
        </w:rPr>
        <w:t xml:space="preserve">Przebieg pracy </w:t>
      </w:r>
      <w:r w:rsidR="00F1744E">
        <w:rPr>
          <w:rFonts w:ascii="Cambria" w:hAnsi="Cambria" w:cs="Times New Roman"/>
          <w:sz w:val="24"/>
          <w:szCs w:val="24"/>
        </w:rPr>
        <w:t>metodą</w:t>
      </w:r>
      <w:r>
        <w:rPr>
          <w:rFonts w:ascii="Cambria" w:hAnsi="Cambria" w:cs="Times New Roman"/>
          <w:sz w:val="24"/>
          <w:szCs w:val="24"/>
        </w:rPr>
        <w:t xml:space="preserve"> </w:t>
      </w:r>
      <w:r w:rsidR="00830AA9">
        <w:rPr>
          <w:rFonts w:ascii="Cambria" w:hAnsi="Cambria"/>
          <w:sz w:val="24"/>
          <w:szCs w:val="24"/>
        </w:rPr>
        <w:t>JIGSAW:</w:t>
      </w:r>
    </w:p>
    <w:p w:rsidR="00830AA9" w:rsidRPr="00830AA9" w:rsidRDefault="00830AA9" w:rsidP="00027B4A">
      <w:pPr>
        <w:autoSpaceDE w:val="0"/>
        <w:autoSpaceDN w:val="0"/>
        <w:adjustRightInd w:val="0"/>
        <w:spacing w:after="0" w:line="240" w:lineRule="auto"/>
        <w:jc w:val="both"/>
        <w:rPr>
          <w:rFonts w:ascii="Cambria" w:hAnsi="Cambria"/>
          <w:sz w:val="24"/>
          <w:szCs w:val="24"/>
        </w:rPr>
      </w:pPr>
    </w:p>
    <w:p w:rsidR="00027B4A" w:rsidRPr="00830AA9" w:rsidRDefault="00AF598C" w:rsidP="00AF598C">
      <w:pPr>
        <w:pStyle w:val="Akapitzlist"/>
        <w:numPr>
          <w:ilvl w:val="0"/>
          <w:numId w:val="3"/>
        </w:numPr>
        <w:spacing w:after="0" w:line="240" w:lineRule="auto"/>
        <w:ind w:left="284" w:hanging="284"/>
        <w:jc w:val="both"/>
        <w:rPr>
          <w:rFonts w:ascii="Cambria" w:eastAsia="Times New Roman" w:hAnsi="Cambria"/>
          <w:sz w:val="24"/>
          <w:szCs w:val="24"/>
          <w:lang w:eastAsia="pl-PL"/>
        </w:rPr>
      </w:pPr>
      <w:r>
        <w:rPr>
          <w:rFonts w:ascii="Cambria" w:eastAsia="Times New Roman" w:hAnsi="Cambria"/>
          <w:bCs/>
          <w:sz w:val="24"/>
          <w:szCs w:val="24"/>
          <w:lang w:eastAsia="pl-PL"/>
        </w:rPr>
        <w:t>n</w:t>
      </w:r>
      <w:r w:rsidR="00027B4A" w:rsidRPr="00830AA9">
        <w:rPr>
          <w:rFonts w:ascii="Cambria" w:eastAsia="Times New Roman" w:hAnsi="Cambria"/>
          <w:bCs/>
          <w:sz w:val="24"/>
          <w:szCs w:val="24"/>
          <w:lang w:eastAsia="pl-PL"/>
        </w:rPr>
        <w:t xml:space="preserve">auczyciel </w:t>
      </w:r>
      <w:r w:rsidR="00027B4A" w:rsidRPr="00830AA9">
        <w:rPr>
          <w:rFonts w:ascii="Cambria" w:eastAsia="Times New Roman" w:hAnsi="Cambria"/>
          <w:sz w:val="24"/>
          <w:szCs w:val="24"/>
          <w:lang w:eastAsia="pl-PL"/>
        </w:rPr>
        <w:t>dzieli klasę na zespoły liczące tyle osób, z ilu zagadnień sk</w:t>
      </w:r>
      <w:r>
        <w:rPr>
          <w:rFonts w:ascii="Cambria" w:eastAsia="Times New Roman" w:hAnsi="Cambria"/>
          <w:sz w:val="24"/>
          <w:szCs w:val="24"/>
          <w:lang w:eastAsia="pl-PL"/>
        </w:rPr>
        <w:t>łada się analizowany materiał; k</w:t>
      </w:r>
      <w:r w:rsidR="00027B4A" w:rsidRPr="00830AA9">
        <w:rPr>
          <w:rFonts w:ascii="Cambria" w:eastAsia="Times New Roman" w:hAnsi="Cambria"/>
          <w:sz w:val="24"/>
          <w:szCs w:val="24"/>
          <w:lang w:eastAsia="pl-PL"/>
        </w:rPr>
        <w:t xml:space="preserve">ażdy członek grupy otrzymuje jedno zagadnienie do opanowania, </w:t>
      </w:r>
      <w:r>
        <w:rPr>
          <w:rFonts w:ascii="Cambria" w:eastAsia="Times New Roman" w:hAnsi="Cambria"/>
          <w:sz w:val="24"/>
          <w:szCs w:val="24"/>
          <w:lang w:eastAsia="pl-PL"/>
        </w:rPr>
        <w:t>a grupa ma razem cały materiał; w</w:t>
      </w:r>
      <w:r w:rsidR="00027B4A" w:rsidRPr="00830AA9">
        <w:rPr>
          <w:rFonts w:ascii="Cambria" w:eastAsia="Times New Roman" w:hAnsi="Cambria"/>
          <w:sz w:val="24"/>
          <w:szCs w:val="24"/>
          <w:lang w:eastAsia="pl-PL"/>
        </w:rPr>
        <w:t xml:space="preserve"> pozo</w:t>
      </w:r>
      <w:r>
        <w:rPr>
          <w:rFonts w:ascii="Cambria" w:eastAsia="Times New Roman" w:hAnsi="Cambria"/>
          <w:sz w:val="24"/>
          <w:szCs w:val="24"/>
          <w:lang w:eastAsia="pl-PL"/>
        </w:rPr>
        <w:t>stałych zespołach jest tak samo,</w:t>
      </w:r>
    </w:p>
    <w:p w:rsidR="00027B4A" w:rsidRPr="00830AA9" w:rsidRDefault="00AF598C" w:rsidP="00AF598C">
      <w:pPr>
        <w:pStyle w:val="Akapitzlist"/>
        <w:numPr>
          <w:ilvl w:val="0"/>
          <w:numId w:val="3"/>
        </w:numPr>
        <w:spacing w:after="0" w:line="240" w:lineRule="auto"/>
        <w:ind w:left="284" w:hanging="284"/>
        <w:jc w:val="both"/>
        <w:rPr>
          <w:rFonts w:ascii="Cambria" w:eastAsia="Times New Roman" w:hAnsi="Cambria"/>
          <w:sz w:val="24"/>
          <w:szCs w:val="24"/>
          <w:lang w:eastAsia="pl-PL"/>
        </w:rPr>
      </w:pPr>
      <w:r>
        <w:rPr>
          <w:rFonts w:ascii="Cambria" w:eastAsia="Times New Roman" w:hAnsi="Cambria"/>
          <w:sz w:val="24"/>
          <w:szCs w:val="24"/>
          <w:lang w:eastAsia="pl-PL"/>
        </w:rPr>
        <w:t>u</w:t>
      </w:r>
      <w:r w:rsidR="00027B4A" w:rsidRPr="00830AA9">
        <w:rPr>
          <w:rFonts w:ascii="Cambria" w:eastAsia="Times New Roman" w:hAnsi="Cambria"/>
          <w:sz w:val="24"/>
          <w:szCs w:val="24"/>
          <w:lang w:eastAsia="pl-PL"/>
        </w:rPr>
        <w:t>czniowie z poszczególnych zespołów, opracowujący ten sam fragment materiału, spotyk</w:t>
      </w:r>
      <w:r>
        <w:rPr>
          <w:rFonts w:ascii="Cambria" w:eastAsia="Times New Roman" w:hAnsi="Cambria"/>
          <w:sz w:val="24"/>
          <w:szCs w:val="24"/>
          <w:lang w:eastAsia="pl-PL"/>
        </w:rPr>
        <w:t>ają się w grupach eksperckich; t</w:t>
      </w:r>
      <w:r w:rsidR="00027B4A" w:rsidRPr="00830AA9">
        <w:rPr>
          <w:rFonts w:ascii="Cambria" w:eastAsia="Times New Roman" w:hAnsi="Cambria"/>
          <w:sz w:val="24"/>
          <w:szCs w:val="24"/>
          <w:lang w:eastAsia="pl-PL"/>
        </w:rPr>
        <w:t xml:space="preserve">am porządkują wiedzę, wyjaśniają pojawiające się wątpliwości i ustalają, w jaki sposób najefektywniej nauczyć pozostałych członków swoich </w:t>
      </w:r>
      <w:r>
        <w:rPr>
          <w:rFonts w:ascii="Cambria" w:eastAsia="Times New Roman" w:hAnsi="Cambria"/>
          <w:sz w:val="24"/>
          <w:szCs w:val="24"/>
          <w:lang w:eastAsia="pl-PL"/>
        </w:rPr>
        <w:t>zespołów danej partii materiału,</w:t>
      </w:r>
    </w:p>
    <w:p w:rsidR="00027B4A" w:rsidRPr="00830AA9" w:rsidRDefault="00AF598C" w:rsidP="00AF598C">
      <w:pPr>
        <w:pStyle w:val="Akapitzlist"/>
        <w:numPr>
          <w:ilvl w:val="0"/>
          <w:numId w:val="3"/>
        </w:numPr>
        <w:spacing w:after="0" w:line="240" w:lineRule="auto"/>
        <w:ind w:left="284" w:hanging="284"/>
        <w:jc w:val="both"/>
        <w:rPr>
          <w:rFonts w:ascii="Cambria" w:eastAsia="Times New Roman" w:hAnsi="Cambria"/>
          <w:sz w:val="24"/>
          <w:szCs w:val="24"/>
          <w:lang w:eastAsia="pl-PL"/>
        </w:rPr>
      </w:pPr>
      <w:r>
        <w:rPr>
          <w:rFonts w:ascii="Cambria" w:eastAsia="Times New Roman" w:hAnsi="Cambria"/>
          <w:sz w:val="24"/>
          <w:szCs w:val="24"/>
          <w:lang w:eastAsia="pl-PL"/>
        </w:rPr>
        <w:t>u</w:t>
      </w:r>
      <w:r w:rsidR="00027B4A" w:rsidRPr="00830AA9">
        <w:rPr>
          <w:rFonts w:ascii="Cambria" w:eastAsia="Times New Roman" w:hAnsi="Cambria"/>
          <w:sz w:val="24"/>
          <w:szCs w:val="24"/>
          <w:lang w:eastAsia="pl-PL"/>
        </w:rPr>
        <w:t xml:space="preserve">czniowie wracają do macierzystych grup i </w:t>
      </w:r>
      <w:r w:rsidR="00830AA9" w:rsidRPr="00830AA9">
        <w:rPr>
          <w:rFonts w:ascii="Cambria" w:eastAsia="Times New Roman" w:hAnsi="Cambria"/>
          <w:sz w:val="24"/>
          <w:szCs w:val="24"/>
          <w:lang w:eastAsia="pl-PL"/>
        </w:rPr>
        <w:t xml:space="preserve">uczą się </w:t>
      </w:r>
      <w:r>
        <w:rPr>
          <w:rFonts w:ascii="Cambria" w:eastAsia="Times New Roman" w:hAnsi="Cambria"/>
          <w:sz w:val="24"/>
          <w:szCs w:val="24"/>
          <w:lang w:eastAsia="pl-PL"/>
        </w:rPr>
        <w:t>wzajemnie; k</w:t>
      </w:r>
      <w:r w:rsidR="00027B4A" w:rsidRPr="00830AA9">
        <w:rPr>
          <w:rFonts w:ascii="Cambria" w:eastAsia="Times New Roman" w:hAnsi="Cambria"/>
          <w:sz w:val="24"/>
          <w:szCs w:val="24"/>
          <w:lang w:eastAsia="pl-PL"/>
        </w:rPr>
        <w:t>ażdy ekspert przedstawia to, czego się nauczył, dbając, aby wszys</w:t>
      </w:r>
      <w:r w:rsidR="00830AA9">
        <w:rPr>
          <w:rFonts w:ascii="Cambria" w:eastAsia="Times New Roman" w:hAnsi="Cambria"/>
          <w:sz w:val="24"/>
          <w:szCs w:val="24"/>
          <w:lang w:eastAsia="pl-PL"/>
        </w:rPr>
        <w:t>cy członkowie grupy opanowali i </w:t>
      </w:r>
      <w:r w:rsidR="00027B4A" w:rsidRPr="00830AA9">
        <w:rPr>
          <w:rFonts w:ascii="Cambria" w:eastAsia="Times New Roman" w:hAnsi="Cambria"/>
          <w:sz w:val="24"/>
          <w:szCs w:val="24"/>
          <w:lang w:eastAsia="pl-PL"/>
        </w:rPr>
        <w:t>zrozumieli tłumacz</w:t>
      </w:r>
      <w:r>
        <w:rPr>
          <w:rFonts w:ascii="Cambria" w:eastAsia="Times New Roman" w:hAnsi="Cambria"/>
          <w:sz w:val="24"/>
          <w:szCs w:val="24"/>
          <w:lang w:eastAsia="pl-PL"/>
        </w:rPr>
        <w:t>oną przez niego część materiału,</w:t>
      </w:r>
    </w:p>
    <w:p w:rsidR="0005333A" w:rsidRDefault="00AF598C" w:rsidP="00AF598C">
      <w:pPr>
        <w:pStyle w:val="Akapitzlist"/>
        <w:numPr>
          <w:ilvl w:val="0"/>
          <w:numId w:val="3"/>
        </w:numPr>
        <w:autoSpaceDE w:val="0"/>
        <w:autoSpaceDN w:val="0"/>
        <w:adjustRightInd w:val="0"/>
        <w:spacing w:after="0" w:line="240" w:lineRule="auto"/>
        <w:ind w:left="284" w:hanging="284"/>
        <w:jc w:val="both"/>
      </w:pPr>
      <w:r>
        <w:rPr>
          <w:rFonts w:ascii="Cambria" w:eastAsia="Times New Roman" w:hAnsi="Cambria"/>
          <w:sz w:val="24"/>
          <w:szCs w:val="24"/>
          <w:lang w:eastAsia="pl-PL"/>
        </w:rPr>
        <w:t>n</w:t>
      </w:r>
      <w:r w:rsidR="00027B4A" w:rsidRPr="00830AA9">
        <w:rPr>
          <w:rFonts w:ascii="Cambria" w:eastAsia="Times New Roman" w:hAnsi="Cambria"/>
          <w:sz w:val="24"/>
          <w:szCs w:val="24"/>
          <w:lang w:eastAsia="pl-PL"/>
        </w:rPr>
        <w:t>astępuje sprawdzian całości w</w:t>
      </w:r>
      <w:r>
        <w:rPr>
          <w:rFonts w:ascii="Cambria" w:eastAsia="Times New Roman" w:hAnsi="Cambria"/>
          <w:sz w:val="24"/>
          <w:szCs w:val="24"/>
          <w:lang w:eastAsia="pl-PL"/>
        </w:rPr>
        <w:t>iedzy opanowanej przez uczniów; p</w:t>
      </w:r>
      <w:r w:rsidR="00027B4A" w:rsidRPr="00830AA9">
        <w:rPr>
          <w:rFonts w:ascii="Cambria" w:eastAsia="Times New Roman" w:hAnsi="Cambria"/>
          <w:sz w:val="24"/>
          <w:szCs w:val="24"/>
          <w:lang w:eastAsia="pl-PL"/>
        </w:rPr>
        <w:t xml:space="preserve">ytania przygotowuje </w:t>
      </w:r>
      <w:r w:rsidR="00016CD0">
        <w:rPr>
          <w:rFonts w:ascii="Cambria" w:eastAsia="Times New Roman" w:hAnsi="Cambria"/>
          <w:sz w:val="24"/>
          <w:szCs w:val="24"/>
          <w:lang w:eastAsia="pl-PL"/>
        </w:rPr>
        <w:t>nauczyciel bądź sami uczniowie</w:t>
      </w:r>
      <w:bookmarkStart w:id="0" w:name="_GoBack"/>
      <w:bookmarkEnd w:id="0"/>
      <w:r w:rsidR="00027B4A" w:rsidRPr="00830AA9">
        <w:rPr>
          <w:rFonts w:ascii="Cambria" w:eastAsia="Times New Roman" w:hAnsi="Cambria"/>
          <w:sz w:val="24"/>
          <w:szCs w:val="24"/>
          <w:lang w:eastAsia="pl-PL"/>
        </w:rPr>
        <w:t>.</w:t>
      </w:r>
    </w:p>
    <w:sectPr w:rsidR="00053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QuasiTimes-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5A2F"/>
    <w:multiLevelType w:val="hybridMultilevel"/>
    <w:tmpl w:val="F61C345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653668"/>
    <w:multiLevelType w:val="hybridMultilevel"/>
    <w:tmpl w:val="8FA65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AC79FD"/>
    <w:multiLevelType w:val="hybridMultilevel"/>
    <w:tmpl w:val="79A8A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4A"/>
    <w:rsid w:val="00016CD0"/>
    <w:rsid w:val="00027B4A"/>
    <w:rsid w:val="0005333A"/>
    <w:rsid w:val="000B7661"/>
    <w:rsid w:val="00162360"/>
    <w:rsid w:val="005C1BFB"/>
    <w:rsid w:val="005C73AF"/>
    <w:rsid w:val="006D50BC"/>
    <w:rsid w:val="00830AA9"/>
    <w:rsid w:val="008D3684"/>
    <w:rsid w:val="00AF598C"/>
    <w:rsid w:val="00F17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615C-3A1C-4E03-A1E9-BA510DA4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B4A"/>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50BC"/>
    <w:rPr>
      <w:color w:val="0563C1" w:themeColor="hyperlink"/>
      <w:u w:val="single"/>
    </w:rPr>
  </w:style>
  <w:style w:type="paragraph" w:styleId="Akapitzlist">
    <w:name w:val="List Paragraph"/>
    <w:basedOn w:val="Normalny"/>
    <w:uiPriority w:val="34"/>
    <w:qFormat/>
    <w:rsid w:val="0083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1356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AT. Tomaszewska</dc:creator>
  <cp:keywords/>
  <dc:description/>
  <cp:lastModifiedBy>Alicja AT. Tomaszewska</cp:lastModifiedBy>
  <cp:revision>11</cp:revision>
  <dcterms:created xsi:type="dcterms:W3CDTF">2017-07-27T10:19:00Z</dcterms:created>
  <dcterms:modified xsi:type="dcterms:W3CDTF">2017-08-07T10:04:00Z</dcterms:modified>
</cp:coreProperties>
</file>